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02C3CF" w14:textId="77777777" w:rsidR="00843335" w:rsidRDefault="00843335">
      <w:pPr>
        <w:rPr>
          <w:rFonts w:ascii="黑体" w:eastAsia="黑体" w:hAnsi="黑体" w:hint="eastAsia"/>
          <w:sz w:val="32"/>
          <w:szCs w:val="32"/>
        </w:rPr>
      </w:pPr>
    </w:p>
    <w:p w14:paraId="161EB7D7" w14:textId="77777777" w:rsidR="00843335" w:rsidRDefault="00843335">
      <w:pPr>
        <w:jc w:val="center"/>
        <w:rPr>
          <w:rFonts w:ascii="方正小标宋_GBK" w:eastAsia="方正小标宋_GBK" w:hAnsi="宋体" w:hint="eastAsia"/>
          <w:sz w:val="44"/>
          <w:szCs w:val="44"/>
        </w:rPr>
      </w:pPr>
    </w:p>
    <w:p w14:paraId="337F6C34" w14:textId="77777777" w:rsidR="0084333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木垒哈萨克自治县第三幼儿园</w:t>
      </w:r>
    </w:p>
    <w:p w14:paraId="3A66CA1A" w14:textId="77777777" w:rsidR="0084333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4641EAA" w14:textId="77777777" w:rsidR="0084333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FF923B7" w14:textId="77777777" w:rsidR="00843335"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3DC1A04" w14:textId="77777777" w:rsidR="00843335"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DDEF2ED" w14:textId="77777777" w:rsidR="00843335"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D1A6875"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261BBC"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602BCDD" w14:textId="77777777" w:rsidR="00843335"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2141B4B"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867B7C7"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E023B98"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6B4E8B8"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550C504"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6A3130E"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91EC971"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D22C739"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A41A102" w14:textId="77777777" w:rsidR="00843335"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2CAB89F"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6197F02" w14:textId="77777777" w:rsidR="0084333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B2A4200" w14:textId="77777777" w:rsidR="0084333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F32BE6A" w14:textId="77777777" w:rsidR="0084333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8BF95C4"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8E14EF4"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69EBCCF" w14:textId="77777777" w:rsidR="00843335"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2BE26B2" w14:textId="77777777" w:rsidR="00843335"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3DF37CD"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56CBC11"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77B71C"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6B88C54"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0EC6695"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8282378"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6E5750F" w14:textId="77777777"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BC883D9" w14:textId="77777777" w:rsidR="0084333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676F14A" w14:textId="77777777" w:rsidR="00843335"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C1370B8" w14:textId="77777777" w:rsidR="00843335" w:rsidRDefault="00000000">
      <w:r>
        <w:rPr>
          <w:rFonts w:ascii="仿宋_GB2312" w:eastAsia="仿宋_GB2312" w:hAnsi="仿宋_GB2312" w:cs="仿宋_GB2312" w:hint="eastAsia"/>
          <w:sz w:val="32"/>
          <w:szCs w:val="32"/>
        </w:rPr>
        <w:fldChar w:fldCharType="end"/>
      </w:r>
    </w:p>
    <w:p w14:paraId="70D83A47" w14:textId="77777777" w:rsidR="00843335" w:rsidRDefault="00000000">
      <w:pPr>
        <w:rPr>
          <w:rFonts w:ascii="仿宋_GB2312" w:eastAsia="仿宋_GB2312"/>
          <w:sz w:val="32"/>
          <w:szCs w:val="32"/>
        </w:rPr>
      </w:pPr>
      <w:r>
        <w:rPr>
          <w:rFonts w:ascii="仿宋_GB2312" w:eastAsia="仿宋_GB2312" w:hint="eastAsia"/>
          <w:sz w:val="32"/>
          <w:szCs w:val="32"/>
        </w:rPr>
        <w:br w:type="page"/>
      </w:r>
    </w:p>
    <w:p w14:paraId="3240A42A" w14:textId="77777777" w:rsidR="00843335"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4E6A829" w14:textId="77777777" w:rsidR="0084333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FCE22FB" w14:textId="77777777" w:rsidR="00843335" w:rsidRDefault="00000000">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3220DB37" w14:textId="77777777" w:rsidR="00843335"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1869344" w14:textId="77777777" w:rsidR="00843335"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木垒哈萨克自治县第三幼儿园2023年度，实有人数</w:t>
      </w:r>
      <w:r>
        <w:rPr>
          <w:rFonts w:ascii="仿宋_GB2312" w:eastAsia="仿宋_GB2312" w:hint="eastAsia"/>
          <w:sz w:val="32"/>
          <w:szCs w:val="32"/>
          <w:lang w:val="zh-CN"/>
        </w:rPr>
        <w:t>5</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245108E7" w14:textId="21D7F687" w:rsidR="00843335" w:rsidRPr="00F1334F" w:rsidRDefault="00000000" w:rsidP="00F1334F">
      <w:pPr>
        <w:ind w:firstLineChars="200" w:firstLine="640"/>
        <w:rPr>
          <w:rFonts w:ascii="仿宋_GB2312" w:eastAsia="仿宋_GB2312" w:hAnsi="宋体" w:cs="宋体" w:hint="eastAsia"/>
          <w:kern w:val="0"/>
          <w:sz w:val="32"/>
          <w:szCs w:val="32"/>
        </w:rPr>
      </w:pPr>
      <w:r>
        <w:rPr>
          <w:rFonts w:ascii="仿宋_GB2312" w:eastAsia="仿宋_GB2312" w:hint="eastAsia"/>
          <w:sz w:val="32"/>
          <w:szCs w:val="32"/>
        </w:rPr>
        <w:t>单位无下属预算单位，下设3个处室，分别是：财务室、教务处、安全总务科</w:t>
      </w:r>
      <w:r>
        <w:rPr>
          <w:rFonts w:ascii="仿宋_GB2312" w:eastAsia="仿宋_GB2312" w:hAnsi="宋体" w:cs="宋体" w:hint="eastAsia"/>
          <w:kern w:val="0"/>
          <w:sz w:val="32"/>
          <w:szCs w:val="32"/>
        </w:rPr>
        <w:t>。</w:t>
      </w:r>
    </w:p>
    <w:p w14:paraId="6828E642" w14:textId="041661A0" w:rsidR="00F1334F" w:rsidRDefault="00F1334F">
      <w:pPr>
        <w:widowControl/>
        <w:jc w:val="left"/>
        <w:rPr>
          <w:rFonts w:ascii="黑体" w:eastAsia="黑体" w:hAnsi="黑体" w:hint="eastAsia"/>
          <w:sz w:val="32"/>
          <w:szCs w:val="32"/>
        </w:rPr>
      </w:pPr>
      <w:bookmarkStart w:id="6" w:name="_Toc29374"/>
      <w:bookmarkStart w:id="7" w:name="_Toc3092"/>
      <w:r>
        <w:rPr>
          <w:rFonts w:ascii="黑体" w:eastAsia="黑体" w:hAnsi="黑体" w:hint="eastAsia"/>
          <w:sz w:val="32"/>
          <w:szCs w:val="32"/>
        </w:rPr>
        <w:br w:type="page"/>
      </w:r>
    </w:p>
    <w:p w14:paraId="449A9C4B" w14:textId="751965EB" w:rsidR="00843335"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7A6AC8C7" w14:textId="77777777" w:rsidR="0084333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DA56AD5"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2023年度收入总计134.36万元，其中：本年收入合计134.36万元，使用非财政拨款结余0.00万元，年初结转和结余0.00万元。</w:t>
      </w:r>
    </w:p>
    <w:p w14:paraId="7E0066FC"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2023年度支出总计134.36万元，其中：本年支出合计134.36万元，结余分配0.00万元，年末结转和结余0.00万元。</w:t>
      </w:r>
    </w:p>
    <w:p w14:paraId="707BCA41"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增加134.36万元</w:t>
      </w:r>
      <w:r>
        <w:rPr>
          <w:rFonts w:ascii="仿宋_GB2312" w:eastAsia="仿宋_GB2312" w:hint="eastAsia"/>
          <w:sz w:val="32"/>
          <w:szCs w:val="32"/>
        </w:rPr>
        <w:t>，增长100.00%，主要原因是：单位本年新增学前教育保障机制经费。</w:t>
      </w:r>
    </w:p>
    <w:p w14:paraId="580B116E" w14:textId="77777777" w:rsidR="0084333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BA87F81"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本年收入134.36万元，其中：财政拨款收入</w:t>
      </w:r>
      <w:r>
        <w:rPr>
          <w:rFonts w:ascii="仿宋_GB2312" w:eastAsia="仿宋_GB2312" w:hint="eastAsia"/>
          <w:sz w:val="32"/>
          <w:szCs w:val="32"/>
          <w:lang w:val="zh-CN"/>
        </w:rPr>
        <w:t>126.46</w:t>
      </w:r>
      <w:r>
        <w:rPr>
          <w:rFonts w:ascii="仿宋_GB2312" w:eastAsia="仿宋_GB2312" w:hint="eastAsia"/>
          <w:sz w:val="32"/>
          <w:szCs w:val="32"/>
        </w:rPr>
        <w:t>万元，占</w:t>
      </w:r>
      <w:r>
        <w:rPr>
          <w:rFonts w:ascii="仿宋_GB2312" w:eastAsia="仿宋_GB2312" w:hint="eastAsia"/>
          <w:sz w:val="32"/>
          <w:szCs w:val="32"/>
          <w:lang w:val="zh-CN"/>
        </w:rPr>
        <w:t>94.12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7.90</w:t>
      </w:r>
      <w:r>
        <w:rPr>
          <w:rFonts w:ascii="仿宋_GB2312" w:eastAsia="仿宋_GB2312" w:hint="eastAsia"/>
          <w:sz w:val="32"/>
          <w:szCs w:val="32"/>
        </w:rPr>
        <w:t>万元，占</w:t>
      </w:r>
      <w:r>
        <w:rPr>
          <w:rFonts w:ascii="仿宋_GB2312" w:eastAsia="仿宋_GB2312" w:hint="eastAsia"/>
          <w:sz w:val="32"/>
          <w:szCs w:val="32"/>
          <w:lang w:val="zh-CN"/>
        </w:rPr>
        <w:t>5.88</w:t>
      </w:r>
      <w:r>
        <w:rPr>
          <w:rFonts w:ascii="仿宋_GB2312" w:eastAsia="仿宋_GB2312" w:hint="eastAsia"/>
          <w:sz w:val="32"/>
          <w:szCs w:val="32"/>
        </w:rPr>
        <w:t>%。</w:t>
      </w:r>
    </w:p>
    <w:p w14:paraId="4A3049D6" w14:textId="77777777" w:rsidR="0084333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98D65A4" w14:textId="77777777"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本年支出134.36万元，其中：基本支出92.64万元，占68.95%；项目支出41.73万元，占31.05%；上缴上级支出0.00万元，占0.00%；经营支出0.00万元，占0.00%；对附属单位补助支出0.00万元，占0.00%。</w:t>
      </w:r>
    </w:p>
    <w:p w14:paraId="008128B0" w14:textId="77777777" w:rsidR="0084333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6028ED3"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126.46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126.46</w:t>
      </w:r>
      <w:r>
        <w:rPr>
          <w:rFonts w:ascii="仿宋_GB2312" w:eastAsia="仿宋_GB2312" w:hint="eastAsia"/>
          <w:sz w:val="32"/>
          <w:szCs w:val="32"/>
        </w:rPr>
        <w:t>万元。财政拨款支出总计</w:t>
      </w:r>
      <w:r>
        <w:rPr>
          <w:rFonts w:ascii="仿宋_GB2312" w:eastAsia="仿宋_GB2312" w:hint="eastAsia"/>
          <w:sz w:val="32"/>
          <w:szCs w:val="32"/>
          <w:lang w:val="zh-CN"/>
        </w:rPr>
        <w:t>126.46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126.46</w:t>
      </w:r>
      <w:r>
        <w:rPr>
          <w:rFonts w:ascii="仿宋_GB2312" w:eastAsia="仿宋_GB2312" w:hint="eastAsia"/>
          <w:sz w:val="32"/>
          <w:szCs w:val="32"/>
        </w:rPr>
        <w:t>万元。</w:t>
      </w:r>
    </w:p>
    <w:p w14:paraId="5B2E18E8"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增加126.46万元</w:t>
      </w:r>
      <w:r>
        <w:rPr>
          <w:rFonts w:ascii="仿宋_GB2312" w:eastAsia="仿宋_GB2312" w:hint="eastAsia"/>
          <w:sz w:val="32"/>
          <w:szCs w:val="32"/>
        </w:rPr>
        <w:t>，增长100.00%,主要原因是：单位本年新增学前教育保障机制经费。与年初预算相比，年初预算数</w:t>
      </w:r>
      <w:r>
        <w:rPr>
          <w:rFonts w:ascii="仿宋_GB2312" w:eastAsia="仿宋_GB2312" w:hint="eastAsia"/>
          <w:sz w:val="32"/>
          <w:szCs w:val="32"/>
          <w:lang w:val="zh-CN"/>
        </w:rPr>
        <w:t>90.86</w:t>
      </w:r>
      <w:r>
        <w:rPr>
          <w:rFonts w:ascii="仿宋_GB2312" w:eastAsia="仿宋_GB2312" w:hint="eastAsia"/>
          <w:sz w:val="32"/>
          <w:szCs w:val="32"/>
        </w:rPr>
        <w:t>万元，决算数</w:t>
      </w:r>
      <w:r>
        <w:rPr>
          <w:rFonts w:ascii="仿宋_GB2312" w:eastAsia="仿宋_GB2312" w:hint="eastAsia"/>
          <w:sz w:val="32"/>
          <w:szCs w:val="32"/>
          <w:lang w:val="zh-CN"/>
        </w:rPr>
        <w:t>126.46</w:t>
      </w:r>
      <w:r>
        <w:rPr>
          <w:rFonts w:ascii="仿宋_GB2312" w:eastAsia="仿宋_GB2312" w:hint="eastAsia"/>
          <w:sz w:val="32"/>
          <w:szCs w:val="32"/>
        </w:rPr>
        <w:t>万元，预决算差异率39.18%，主要原因是：年中追加人员工资、社保、津补贴等人员经费。</w:t>
      </w:r>
    </w:p>
    <w:p w14:paraId="127E6303" w14:textId="77777777" w:rsidR="0084333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5A91EB1" w14:textId="77777777" w:rsidR="0084333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40B3369"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2023年度一般公共预算财政拨款支出126.46万元，占本年支出合计的</w:t>
      </w:r>
      <w:r>
        <w:rPr>
          <w:rFonts w:ascii="仿宋_GB2312" w:eastAsia="仿宋_GB2312" w:hint="eastAsia"/>
          <w:sz w:val="32"/>
          <w:szCs w:val="32"/>
          <w:lang w:val="zh-CN"/>
        </w:rPr>
        <w:t>94.12%</w:t>
      </w:r>
      <w:r>
        <w:rPr>
          <w:rFonts w:ascii="仿宋_GB2312" w:eastAsia="仿宋_GB2312" w:hint="eastAsia"/>
          <w:sz w:val="32"/>
          <w:szCs w:val="32"/>
        </w:rPr>
        <w:t>。与上年相比，</w:t>
      </w:r>
      <w:r>
        <w:rPr>
          <w:rFonts w:ascii="仿宋_GB2312" w:eastAsia="仿宋_GB2312" w:hint="eastAsia"/>
          <w:sz w:val="32"/>
          <w:szCs w:val="32"/>
          <w:lang w:val="zh-CN"/>
        </w:rPr>
        <w:t>增加126.46万元</w:t>
      </w:r>
      <w:r>
        <w:rPr>
          <w:rFonts w:ascii="仿宋_GB2312" w:eastAsia="仿宋_GB2312" w:hint="eastAsia"/>
          <w:sz w:val="32"/>
          <w:szCs w:val="32"/>
        </w:rPr>
        <w:t>，增长100.00%,主要原因是：单位本年新增学前教育保障机制经费。与年初预算相比，年初预算数</w:t>
      </w:r>
      <w:r>
        <w:rPr>
          <w:rFonts w:ascii="仿宋_GB2312" w:eastAsia="仿宋_GB2312" w:hint="eastAsia"/>
          <w:sz w:val="32"/>
          <w:szCs w:val="32"/>
          <w:lang w:val="zh-CN"/>
        </w:rPr>
        <w:t>90.86</w:t>
      </w:r>
      <w:r>
        <w:rPr>
          <w:rFonts w:ascii="仿宋_GB2312" w:eastAsia="仿宋_GB2312" w:hint="eastAsia"/>
          <w:sz w:val="32"/>
          <w:szCs w:val="32"/>
        </w:rPr>
        <w:t>万元，决算数</w:t>
      </w:r>
      <w:r>
        <w:rPr>
          <w:rFonts w:ascii="仿宋_GB2312" w:eastAsia="仿宋_GB2312" w:hint="eastAsia"/>
          <w:sz w:val="32"/>
          <w:szCs w:val="32"/>
          <w:lang w:val="zh-CN"/>
        </w:rPr>
        <w:t>126.46</w:t>
      </w:r>
      <w:r>
        <w:rPr>
          <w:rFonts w:ascii="仿宋_GB2312" w:eastAsia="仿宋_GB2312" w:hint="eastAsia"/>
          <w:sz w:val="32"/>
          <w:szCs w:val="32"/>
        </w:rPr>
        <w:t>万元，预决算差异率</w:t>
      </w:r>
      <w:r>
        <w:rPr>
          <w:rFonts w:ascii="仿宋_GB2312" w:eastAsia="仿宋_GB2312" w:hint="eastAsia"/>
          <w:sz w:val="32"/>
          <w:szCs w:val="32"/>
          <w:lang w:val="zh-CN"/>
        </w:rPr>
        <w:t>39.18%</w:t>
      </w:r>
      <w:r>
        <w:rPr>
          <w:rFonts w:ascii="仿宋_GB2312" w:eastAsia="仿宋_GB2312" w:hint="eastAsia"/>
          <w:sz w:val="32"/>
          <w:szCs w:val="32"/>
        </w:rPr>
        <w:t>，主要原因是：年中追加人员工资、社保、津补贴等人员经费。</w:t>
      </w:r>
    </w:p>
    <w:p w14:paraId="0CC00516" w14:textId="77777777" w:rsidR="00843335"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D8FCA79" w14:textId="77777777"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w:t>
      </w:r>
      <w:r>
        <w:rPr>
          <w:rFonts w:ascii="仿宋_GB2312" w:eastAsia="仿宋_GB2312"/>
          <w:sz w:val="32"/>
          <w:szCs w:val="32"/>
          <w:lang w:val="zh-CN"/>
        </w:rPr>
        <w:t>.教育支出（类）</w:t>
      </w:r>
      <w:r>
        <w:rPr>
          <w:rFonts w:ascii="仿宋_GB2312" w:eastAsia="仿宋_GB2312" w:hint="eastAsia"/>
          <w:sz w:val="32"/>
          <w:szCs w:val="32"/>
          <w:lang w:val="zh-CN"/>
        </w:rPr>
        <w:t>126.46</w:t>
      </w:r>
      <w:r>
        <w:rPr>
          <w:rFonts w:ascii="仿宋_GB2312" w:eastAsia="仿宋_GB2312"/>
          <w:sz w:val="32"/>
          <w:szCs w:val="32"/>
          <w:lang w:val="zh-CN"/>
        </w:rPr>
        <w:t>万元，占</w:t>
      </w:r>
      <w:r>
        <w:rPr>
          <w:rFonts w:ascii="仿宋_GB2312" w:eastAsia="仿宋_GB2312" w:hint="eastAsia"/>
          <w:sz w:val="32"/>
          <w:szCs w:val="32"/>
          <w:lang w:val="zh-CN"/>
        </w:rPr>
        <w:t>100.00</w:t>
      </w:r>
      <w:r>
        <w:rPr>
          <w:rFonts w:ascii="仿宋_GB2312" w:eastAsia="仿宋_GB2312"/>
          <w:sz w:val="32"/>
          <w:szCs w:val="32"/>
          <w:lang w:val="zh-CN"/>
        </w:rPr>
        <w:t>%</w:t>
      </w:r>
      <w:r>
        <w:rPr>
          <w:rFonts w:ascii="仿宋_GB2312" w:eastAsia="仿宋_GB2312" w:hint="eastAsia"/>
          <w:sz w:val="32"/>
          <w:szCs w:val="32"/>
          <w:lang w:val="zh-CN"/>
        </w:rPr>
        <w:t>。</w:t>
      </w:r>
    </w:p>
    <w:p w14:paraId="5057679C" w14:textId="77777777" w:rsidR="0084333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42EBBD7" w14:textId="77777777"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1.教育支出（类）普通教育（款）学前教育（项）:支</w:t>
      </w:r>
      <w:r>
        <w:rPr>
          <w:rFonts w:ascii="仿宋_GB2312" w:eastAsia="仿宋_GB2312" w:hint="eastAsia"/>
          <w:sz w:val="32"/>
          <w:szCs w:val="32"/>
        </w:rPr>
        <w:lastRenderedPageBreak/>
        <w:t>出决算数为126.46万元，比上年决算增加126.46万元，增长100%，主要原因是：</w:t>
      </w:r>
      <w:r>
        <w:rPr>
          <w:rFonts w:ascii="仿宋_GB2312" w:eastAsia="仿宋_GB2312" w:hint="eastAsia"/>
          <w:sz w:val="32"/>
          <w:szCs w:val="32"/>
          <w:lang w:val="zh-CN"/>
        </w:rPr>
        <w:t>单位本年新增学前教育保障机制经费。</w:t>
      </w:r>
    </w:p>
    <w:p w14:paraId="4FE8FDB9" w14:textId="77777777" w:rsidR="0084333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85A7B26"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84.74万元，其中：人员经费78.64万元，包括：基本工资、津贴补贴、奖金、机关事业单位基本养老保险缴费、职工基本医疗保险缴费、其他社会保障缴费、住房公积金、奖励金。</w:t>
      </w:r>
    </w:p>
    <w:p w14:paraId="02332B96"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公用经费6.10万元，包括：水费、电费、取暖费。</w:t>
      </w:r>
    </w:p>
    <w:p w14:paraId="001BD79D" w14:textId="77777777" w:rsidR="0084333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72B4567" w14:textId="1AD8BD54"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334F">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2126710" w14:textId="77777777"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708BAE8" w14:textId="4E94AFF4"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4F75E47" w14:textId="01E5D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1334F">
        <w:rPr>
          <w:rFonts w:ascii="仿宋_GB2312" w:eastAsia="仿宋_GB2312" w:hint="eastAsia"/>
          <w:sz w:val="32"/>
          <w:szCs w:val="32"/>
          <w:lang w:val="zh-CN"/>
        </w:rPr>
        <w:t>对比无差异</w:t>
      </w:r>
      <w:r>
        <w:rPr>
          <w:rFonts w:ascii="仿宋_GB2312" w:eastAsia="仿宋_GB2312" w:hint="eastAsia"/>
          <w:sz w:val="32"/>
          <w:szCs w:val="32"/>
          <w:lang w:val="zh-CN"/>
        </w:rPr>
        <w:t>。</w:t>
      </w:r>
    </w:p>
    <w:p w14:paraId="40E89758" w14:textId="6DB98DC6"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602E4BC" w14:textId="7BB9F6E6"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334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80DCB01" w14:textId="77777777" w:rsidR="0084333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4319C83"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6E4E1B70" w14:textId="77777777" w:rsidR="00843335" w:rsidRDefault="00000000">
      <w:pPr>
        <w:ind w:firstLineChars="200" w:firstLine="640"/>
        <w:jc w:val="left"/>
        <w:outlineLvl w:val="1"/>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14:paraId="457F8D53"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95D89E2" w14:textId="77777777" w:rsidR="00843335"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247F900D" w14:textId="77777777" w:rsidR="00843335"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CC5FA3E" w14:textId="5A976FA1" w:rsidR="00843335" w:rsidRDefault="00000000">
      <w:pPr>
        <w:ind w:firstLineChars="200" w:firstLine="640"/>
        <w:jc w:val="left"/>
        <w:rPr>
          <w:rFonts w:ascii="仿宋_GB2312" w:eastAsia="仿宋_GB2312"/>
          <w:sz w:val="32"/>
          <w:szCs w:val="32"/>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木垒哈萨克自治县第三幼儿园</w:t>
      </w:r>
      <w:r>
        <w:rPr>
          <w:rFonts w:ascii="仿宋_GB2312" w:eastAsia="仿宋_GB2312" w:hint="eastAsia"/>
          <w:sz w:val="32"/>
          <w:szCs w:val="32"/>
          <w:lang w:val="zh-CN"/>
        </w:rPr>
        <w:t>（事业单位）公用经费支出6.10万元，比上年增加6.10万元，增长</w:t>
      </w:r>
      <w:r>
        <w:rPr>
          <w:rFonts w:ascii="仿宋_GB2312" w:eastAsia="仿宋_GB2312" w:hint="eastAsia"/>
          <w:sz w:val="32"/>
          <w:szCs w:val="32"/>
        </w:rPr>
        <w:t>100</w:t>
      </w:r>
      <w:r>
        <w:rPr>
          <w:rFonts w:ascii="仿宋_GB2312" w:eastAsia="仿宋_GB2312" w:hint="eastAsia"/>
          <w:sz w:val="32"/>
          <w:szCs w:val="32"/>
          <w:lang w:val="zh-CN"/>
        </w:rPr>
        <w:t>.00%，主要原因是：</w:t>
      </w:r>
      <w:r>
        <w:rPr>
          <w:rFonts w:ascii="仿宋_GB2312" w:eastAsia="仿宋_GB2312" w:hint="eastAsia"/>
          <w:sz w:val="32"/>
          <w:szCs w:val="32"/>
        </w:rPr>
        <w:t>单位本年增加</w:t>
      </w:r>
      <w:r w:rsidR="00F1334F">
        <w:rPr>
          <w:rFonts w:ascii="仿宋_GB2312" w:eastAsia="仿宋_GB2312" w:hint="eastAsia"/>
          <w:sz w:val="32"/>
          <w:szCs w:val="32"/>
        </w:rPr>
        <w:t>水费、电费、取暖费</w:t>
      </w:r>
      <w:r>
        <w:rPr>
          <w:rFonts w:ascii="仿宋_GB2312" w:eastAsia="仿宋_GB2312" w:hint="eastAsia"/>
          <w:sz w:val="32"/>
          <w:szCs w:val="32"/>
          <w:lang w:val="zh-CN"/>
        </w:rPr>
        <w:t>。</w:t>
      </w:r>
    </w:p>
    <w:p w14:paraId="621E0D37" w14:textId="77777777" w:rsidR="00843335"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5EDD803" w14:textId="77777777"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2023年度政府采购支出总额8.74万元，其中：政府采购货物支出8.74万元、政府采购工程支出0.00万元、政府采购服务支出0.00万元。</w:t>
      </w:r>
    </w:p>
    <w:p w14:paraId="0084CD8D" w14:textId="7777777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授予中小企业合同金额8.74万元，占政府采购支出总额的100.00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，其中：授予小微企业合同金额8.74万元，占政府采购支出总额的100.00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01CE4144" w14:textId="77777777" w:rsidR="00843335"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60AA732B" w14:textId="77777777"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74.67</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w:t>
      </w:r>
      <w:r>
        <w:rPr>
          <w:rFonts w:ascii="仿宋_GB2312" w:eastAsia="仿宋_GB2312" w:hint="eastAsia"/>
          <w:sz w:val="32"/>
          <w:szCs w:val="32"/>
          <w:lang w:val="zh-CN"/>
        </w:rPr>
        <w:lastRenderedPageBreak/>
        <w:t>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06111712" w14:textId="77777777" w:rsidR="00843335"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58AEBB9E" w14:textId="65275537"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预算总额134.36万元，实际执行总额134.36万元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二是结合我校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绩效监控管理理念有待进一步增强</w:t>
      </w:r>
      <w:r w:rsidR="00F1334F">
        <w:rPr>
          <w:rFonts w:ascii="仿宋_GB2312" w:eastAsia="仿宋_GB2312" w:hint="eastAsia"/>
          <w:sz w:val="32"/>
          <w:szCs w:val="32"/>
        </w:rPr>
        <w:t>，</w:t>
      </w:r>
      <w:r>
        <w:rPr>
          <w:rFonts w:ascii="仿宋_GB2312" w:eastAsia="仿宋_GB2312" w:hint="eastAsia"/>
          <w:sz w:val="32"/>
          <w:szCs w:val="32"/>
        </w:rPr>
        <w:t>绩效监控政策宣传不到位；二是机构设置和队伍建设需要进一步推进。我单位没有设置专门的预算绩效管理部门，只是由财务科负责，人员数量较少，专业能力较弱，现有工作人员的业务水平还不能满足绩效管理工作要求，业务素质急需提高。下一步改进措施：一是细化预算编</w:t>
      </w:r>
      <w:r>
        <w:rPr>
          <w:rFonts w:ascii="仿宋_GB2312" w:eastAsia="仿宋_GB2312" w:hint="eastAsia"/>
          <w:sz w:val="32"/>
          <w:szCs w:val="32"/>
        </w:rPr>
        <w:lastRenderedPageBreak/>
        <w:t>制工作，认真做好预算的编制。进一步加强单位内部机构各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具体项目自评情况附绩效自评表及自评报告。</w:t>
      </w:r>
    </w:p>
    <w:tbl>
      <w:tblPr>
        <w:tblW w:w="1250" w:type="pct"/>
        <w:jc w:val="center"/>
        <w:tblLook w:val="04A0" w:firstRow="1" w:lastRow="0" w:firstColumn="1" w:lastColumn="0" w:noHBand="0" w:noVBand="1"/>
      </w:tblPr>
      <w:tblGrid>
        <w:gridCol w:w="1554"/>
        <w:gridCol w:w="1197"/>
        <w:gridCol w:w="1171"/>
        <w:gridCol w:w="968"/>
        <w:gridCol w:w="1001"/>
        <w:gridCol w:w="793"/>
        <w:gridCol w:w="916"/>
        <w:gridCol w:w="922"/>
      </w:tblGrid>
      <w:tr w:rsidR="00843335" w14:paraId="0DB844E4"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0917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843335" w14:paraId="7BEBEC64"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79214"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843335" w14:paraId="05B6E609"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D8C485"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7F676"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w:t>
            </w:r>
          </w:p>
        </w:tc>
      </w:tr>
      <w:tr w:rsidR="00843335" w14:paraId="0D3542EE"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A3A097"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498F9"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D534F"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1E925"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A1C6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0DE89"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5E0F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38014"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843335" w14:paraId="78367C95"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5558C3" w14:textId="77777777" w:rsidR="00843335" w:rsidRDefault="00843335">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3B027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9551C"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2E584"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27.36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BEAB1"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27.36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77E50"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A03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F95E7"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14:paraId="113C0555"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564CC6" w14:textId="77777777"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3074"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BBAE3"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90.86</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D9420"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14.37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83445"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14.37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9E7BA"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87F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AD2F6"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843335" w14:paraId="32AEA1E8"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A538D0" w14:textId="77777777"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16079"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EE4CA"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BE342"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A5EED"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87EFD"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A866"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50787"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843335" w14:paraId="44645FEB"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861DAA" w14:textId="77777777"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0189"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0CB7F"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BA21A"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84.73</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6868E"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84.73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4B785" w14:textId="77777777" w:rsidR="00843335" w:rsidRDefault="00843335">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16386" w14:textId="77777777" w:rsidR="00843335" w:rsidRDefault="00843335">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3EF68" w14:textId="77777777" w:rsidR="00843335" w:rsidRDefault="00843335">
            <w:pPr>
              <w:jc w:val="center"/>
              <w:rPr>
                <w:rFonts w:ascii="宋体" w:hAnsi="宋体" w:cs="宋体" w:hint="eastAsia"/>
                <w:color w:val="000000"/>
                <w:sz w:val="20"/>
                <w:szCs w:val="20"/>
              </w:rPr>
            </w:pPr>
          </w:p>
        </w:tc>
      </w:tr>
      <w:tr w:rsidR="00843335" w14:paraId="4E71ADFF"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C08D04" w14:textId="77777777"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EB9B4"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13C5"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E3D30"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7.90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E455D"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7.90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7BC0E" w14:textId="77777777" w:rsidR="00843335" w:rsidRDefault="00843335">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3290" w14:textId="77777777" w:rsidR="00843335" w:rsidRDefault="00843335">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E911C" w14:textId="77777777" w:rsidR="00843335" w:rsidRDefault="00843335">
            <w:pPr>
              <w:jc w:val="center"/>
              <w:rPr>
                <w:rFonts w:ascii="宋体" w:hAnsi="宋体" w:cs="宋体" w:hint="eastAsia"/>
                <w:color w:val="000000"/>
                <w:sz w:val="20"/>
                <w:szCs w:val="20"/>
              </w:rPr>
            </w:pPr>
          </w:p>
        </w:tc>
      </w:tr>
      <w:tr w:rsidR="00843335" w14:paraId="4E15384D"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CECC5" w14:textId="77777777"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4394E"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72300"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90.86</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6A3A6"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134.36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0D977"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134.36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392FC" w14:textId="77777777"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A7E7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2D94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843335" w14:paraId="09C045DB"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1DC9D4"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47F8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CB8F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843335" w14:paraId="302FEDB9"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449489" w14:textId="77777777" w:rsidR="00843335" w:rsidRDefault="00843335">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032B87"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目标1：保障木垒哈萨克自治县第三幼儿园教育教学工资圆满完成。       </w:t>
            </w:r>
            <w:r>
              <w:rPr>
                <w:rFonts w:ascii="宋体" w:hAnsi="宋体" w:cs="宋体" w:hint="eastAsia"/>
                <w:color w:val="000000"/>
                <w:kern w:val="0"/>
                <w:sz w:val="20"/>
                <w:szCs w:val="20"/>
                <w:lang w:bidi="ar"/>
              </w:rPr>
              <w:br/>
              <w:t xml:space="preserve">目标2：抓提高，求发展，初步形成科学规范的管理体系，加强班主任工作，提高教育教学管理水平。          </w:t>
            </w:r>
            <w:r>
              <w:rPr>
                <w:rFonts w:ascii="宋体" w:hAnsi="宋体" w:cs="宋体" w:hint="eastAsia"/>
                <w:color w:val="000000"/>
                <w:kern w:val="0"/>
                <w:sz w:val="20"/>
                <w:szCs w:val="20"/>
                <w:lang w:bidi="ar"/>
              </w:rPr>
              <w:br/>
              <w:t xml:space="preserve">目标3：积极开展班队活动、校园艺术节，特色体育和艺术教育等活动，努力构建多彩的校园文化。            </w:t>
            </w:r>
            <w:r>
              <w:rPr>
                <w:rFonts w:ascii="宋体" w:hAnsi="宋体" w:cs="宋体" w:hint="eastAsia"/>
                <w:color w:val="000000"/>
                <w:kern w:val="0"/>
                <w:sz w:val="20"/>
                <w:szCs w:val="20"/>
                <w:lang w:bidi="ar"/>
              </w:rPr>
              <w:br/>
              <w:t>目标4：保障学前教育各项工作的正常开展，改善办学条件，维护学校正常运转。为各族少年儿童学习在学校、生活在学校、成长在学校创设良好条件。</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A9B92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单位整体绩效目标共设置一级指标5个，分别为运行成本、管理效率、履职效能、社会效益、服务对象满意度；二级指标3个，其中数量指标1个，质量指标1个，时效指标1个；三级指标10个；其中已完成三级指标10个，指标完成率为100%。</w:t>
            </w:r>
          </w:p>
        </w:tc>
      </w:tr>
      <w:tr w:rsidR="00843335" w14:paraId="5BF12B12"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F97AB"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A3D36"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AFC0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3C0AF"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3C42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7F59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46B68"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94ECE"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843335" w14:paraId="22D9BAED"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E43A8"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46500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83D9B"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保障学校办公人员数量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05E3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&gt;=22人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A537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木垒哈萨克自治县第三幼儿园机构改革方案</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0077E"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C46C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867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843335" w14:paraId="0B4A01AF"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E4E51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34CE9E" w14:textId="77777777"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7262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学生补助人数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FFDE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&gt;=136人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BC52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670C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0A04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136人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1FA3F"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843335" w14:paraId="21BC64FE"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2F42EF" w14:textId="77777777" w:rsidR="00843335" w:rsidRDefault="00843335">
            <w:pPr>
              <w:jc w:val="center"/>
              <w:rPr>
                <w:rFonts w:ascii="宋体" w:hAnsi="宋体" w:cs="宋体" w:hint="eastAsia"/>
                <w:color w:val="000000"/>
                <w:sz w:val="20"/>
                <w:szCs w:val="20"/>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2792AD"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2FE77"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912BE"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0D21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7EE95"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88F24"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816B8"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14:paraId="28623414"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7B2E14" w14:textId="77777777" w:rsidR="00843335" w:rsidRDefault="00843335">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38BE2" w14:textId="77777777"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A360B"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学生活动参与率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80EC7"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A668"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BD3E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0805"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CAB3E"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14:paraId="4AB0801A"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74B2D7" w14:textId="77777777" w:rsidR="00843335" w:rsidRDefault="00843335">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FDB833" w14:textId="77777777"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4B0E"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学生升学（毕业）率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C195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54D3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F0CD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B9AB9"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B7B29"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843335" w14:paraId="37307556"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2F45B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2E588"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C811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教师培训完成率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09A9C"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80AF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8A93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FE7B7"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9175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14:paraId="3E79001A"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24832" w14:textId="77777777"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88BD8"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A39B"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公用经费覆盖率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6256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503A7"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A22D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7D3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D0B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14:paraId="442E1784"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05AB34" w14:textId="77777777"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C7DA"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0C77E"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班主任培训人次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209AF"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&gt;=5人次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A6168"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79CA9"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1DCFC"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5人次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75E0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14:paraId="4A494EE3"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903E9"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27DD2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B32E0"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学前免费教育政策知晓率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B86D5"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&gt;=98%</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0497C"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FE50C"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2F6BF"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0BAC1"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14:paraId="30533FFA"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42CF5"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DB2AF" w14:textId="77777777"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CAAD4" w14:textId="77777777" w:rsidR="00843335" w:rsidRDefault="00843335">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27D40" w14:textId="77777777" w:rsidR="00843335" w:rsidRDefault="00843335">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BF25F" w14:textId="77777777" w:rsidR="00843335" w:rsidRDefault="00843335">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DCC33" w14:textId="77777777" w:rsidR="00843335" w:rsidRDefault="00843335">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FA862" w14:textId="77777777" w:rsidR="00843335" w:rsidRDefault="00843335">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B61CA" w14:textId="77777777" w:rsidR="00843335" w:rsidRDefault="00843335">
            <w:pPr>
              <w:jc w:val="center"/>
              <w:rPr>
                <w:rFonts w:ascii="宋体" w:hAnsi="宋体" w:cs="宋体" w:hint="eastAsia"/>
                <w:color w:val="000000"/>
                <w:sz w:val="20"/>
                <w:szCs w:val="20"/>
              </w:rPr>
            </w:pPr>
          </w:p>
        </w:tc>
      </w:tr>
      <w:tr w:rsidR="00843335" w14:paraId="49171547"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A1923"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3319D9" w14:textId="77777777"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37445"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学生家长满意度</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05E1F"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7AA0B"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35F95"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6AD12"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A727E" w14:textId="77777777"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bl>
    <w:p w14:paraId="159825E7" w14:textId="77777777" w:rsidR="00843335" w:rsidRDefault="00843335">
      <w:pPr>
        <w:ind w:firstLineChars="200" w:firstLine="640"/>
        <w:jc w:val="left"/>
        <w:rPr>
          <w:rFonts w:ascii="黑体" w:eastAsia="黑体" w:hAnsi="黑体" w:cs="宋体" w:hint="eastAsia"/>
          <w:bCs/>
          <w:kern w:val="0"/>
          <w:sz w:val="32"/>
          <w:szCs w:val="32"/>
        </w:rPr>
      </w:pPr>
    </w:p>
    <w:p w14:paraId="08F2D1FC" w14:textId="77777777" w:rsidR="00843335"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66E5376" w14:textId="77777777" w:rsidR="00843335"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3184C86F" w14:textId="77777777" w:rsidR="00843335"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E0A19BF"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48AA2E7"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598750D"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4CF3463"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C198A70"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AE0C7AC"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C58FB48"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CACE546"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E4B2D5"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3AD475B" w14:textId="77777777"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9974DD1" w14:textId="77777777" w:rsidR="0084333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C912A02" w14:textId="77777777" w:rsidR="0084333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8057BD2" w14:textId="77777777" w:rsidR="0084333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6C131D" w14:textId="77777777" w:rsidR="00843335"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E2601A0" w14:textId="77777777" w:rsidR="00843335"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319128B" w14:textId="77777777" w:rsidR="0084333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3E939E8" w14:textId="77777777" w:rsidR="0084333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55F6A33" w14:textId="77777777" w:rsidR="0084333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879F61A" w14:textId="77777777" w:rsidR="0084333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9E31989" w14:textId="77777777" w:rsidR="0084333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85791A8" w14:textId="77777777" w:rsidR="00843335"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627BC1A8" w14:textId="77777777" w:rsidR="0084333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0C12BE3" w14:textId="77777777" w:rsidR="0084333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DBD85D8" w14:textId="77777777" w:rsidR="0084333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AC49C43" w14:textId="77777777" w:rsidR="00843335" w:rsidRDefault="00843335">
      <w:pPr>
        <w:ind w:firstLineChars="200" w:firstLine="640"/>
        <w:rPr>
          <w:rFonts w:ascii="仿宋_GB2312" w:eastAsia="仿宋_GB2312"/>
          <w:sz w:val="32"/>
          <w:szCs w:val="32"/>
        </w:rPr>
      </w:pPr>
    </w:p>
    <w:p w14:paraId="63ABACA6" w14:textId="77777777" w:rsidR="00843335" w:rsidRDefault="00843335">
      <w:pPr>
        <w:ind w:firstLineChars="200" w:firstLine="640"/>
        <w:outlineLvl w:val="1"/>
        <w:rPr>
          <w:rFonts w:ascii="黑体" w:eastAsia="黑体" w:hAnsi="黑体" w:cs="宋体" w:hint="eastAsia"/>
          <w:bCs/>
          <w:kern w:val="0"/>
          <w:sz w:val="32"/>
          <w:szCs w:val="32"/>
        </w:rPr>
      </w:pPr>
    </w:p>
    <w:sectPr w:rsidR="00843335">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49049" w14:textId="77777777" w:rsidR="00B54366" w:rsidRDefault="00B54366">
      <w:r>
        <w:separator/>
      </w:r>
    </w:p>
  </w:endnote>
  <w:endnote w:type="continuationSeparator" w:id="0">
    <w:p w14:paraId="2167060F" w14:textId="77777777" w:rsidR="00B54366" w:rsidRDefault="00B5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10283" w14:textId="77777777" w:rsidR="00843335" w:rsidRDefault="00000000">
    <w:pPr>
      <w:pStyle w:val="a4"/>
    </w:pPr>
    <w:r>
      <w:rPr>
        <w:noProof/>
      </w:rPr>
      <mc:AlternateContent>
        <mc:Choice Requires="wps">
          <w:drawing>
            <wp:anchor distT="0" distB="0" distL="114300" distR="114300" simplePos="0" relativeHeight="251659264" behindDoc="0" locked="0" layoutInCell="1" allowOverlap="1" wp14:anchorId="20EBB888" wp14:editId="0E12F79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B17949" w14:textId="77777777" w:rsidR="0084333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0EBB88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8B17949" w14:textId="77777777" w:rsidR="0084333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9EB53" w14:textId="77777777" w:rsidR="00B54366" w:rsidRDefault="00B54366">
      <w:r>
        <w:separator/>
      </w:r>
    </w:p>
  </w:footnote>
  <w:footnote w:type="continuationSeparator" w:id="0">
    <w:p w14:paraId="7AA79C4A" w14:textId="77777777" w:rsidR="00B54366" w:rsidRDefault="00B54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00434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843335"/>
    <w:rsid w:val="00213C59"/>
    <w:rsid w:val="003210CE"/>
    <w:rsid w:val="00577974"/>
    <w:rsid w:val="00843335"/>
    <w:rsid w:val="00B54366"/>
    <w:rsid w:val="00B70D59"/>
    <w:rsid w:val="00C818FB"/>
    <w:rsid w:val="00F1334F"/>
    <w:rsid w:val="00F3105B"/>
    <w:rsid w:val="00F52A8D"/>
    <w:rsid w:val="00FB68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8E47A0"/>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194BBB"/>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0B3B70"/>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15523"/>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171B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299DB"/>
  <w15:docId w15:val="{A51BB39F-4685-4821-B957-042663DE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17</Pages>
  <Words>1098</Words>
  <Characters>6260</Characters>
  <Application>Microsoft Office Word</Application>
  <DocSecurity>0</DocSecurity>
  <Lines>52</Lines>
  <Paragraphs>14</Paragraphs>
  <ScaleCrop>false</ScaleCrop>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